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Outlook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001-37759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38-3982704</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00" w:space="720"/>
            <w:col w:w="3080"/>
          </w:cols>
          <w:pgMar w:left="320" w:top="66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of incorporation)</w:t>
      </w:r>
    </w:p>
    <w:p>
      <w:pPr>
        <w:sectPr>
          <w:pgSz w:w="11900" w:h="16838" w:orient="portrait"/>
          <w:cols w:equalWidth="0" w:num="1">
            <w:col w:w="11240"/>
          </w:cols>
          <w:pgMar w:left="320" w:top="664" w:right="339" w:bottom="1440" w:gutter="0" w:footer="0" w:header="0"/>
          <w:type w:val="continuous"/>
        </w:sectPr>
      </w:pPr>
    </w:p>
    <w:p>
      <w:pPr>
        <w:spacing w:after="0" w:line="21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111 S. Wood Avenue, Unit #100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Iselin, New Jersey</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08830</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66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619-3990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OTLK</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2026, Outlook Therapeutics, Inc. (the “Company”) entered into a securities purchase agreement (the “Purchase Agreement”) with GMS Ventures and Investments (the “Purchaser”), pursuant to which the Company agreed to issue and sell to the Purchaser, in a registered direct offering priced at-the-market under the rules of The Nasdaq Stock Market (the “Registered Direct Offering”), 8,539,709 shares (the “Shares”) of the Company’s common stock, $0.01 par value per share (the “Common Stock”). The offering price of each Share is $0.5855 per share. The gross proceeds to the Company from the Registered Direct Offering are expected to be approximately $5.0 million, before deducting offering expenses payable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Registered Direct Offering is expected to close on or about May 29, 2026, subject to the satisfaction of customary closing conditions. The Company intends to use the net proceeds from the Registered Direct Offering, together with existing cash and cash equivalents, for working capital and general corporate purposes.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the Purchaser, customary conditions to closing, indemnification obligations of the Company, including for liabilities arising under the Securities Act of 1933, as amended (the “Securities Act”),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Registered Direct Offering was made pursuant to the Company’s effective registration statement on Form S-3 (File No. 333-278340) that was originally filed with the Securities and Exchange Commission (the “SEC”) on March 28, 2024 and which became effective on April 5, 2024 and a related base prospectus and prospectus supplement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GMS Ventures and Investments is affiliated with Yezan Haddadin and Faisal G. Sukhtian, directors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the full text of the form of Purchase Agreement, a copy of which is attached hereto as Exhibit 10.1 and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Amendment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Registered Direct Offering, on May 28, 2026, the Company entered into a warrant amendment (the “Warrant Amendment”) with the Purchaser pursuant to which the Company agreed to amend certain outstanding common stock warrants to purchase up to an aggregate of 15,488,570 shares of Common Stock previously issued to the Purchaser in January 2025 and May 2025, with a weighted average exercise price of $1.78 per share, effective upon the closing of the Registered Direct Offering, such that the amended warrants (the “Amended Warrants”) have a reduced exercise price of $0.5855 per share. Other than as described herein, the terms of the Amended Warrants remain unchanged.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Warrant Amendment does not purport to be complete and is qualified in its entirety by the full text of the form of Warrant Amendment, a copy of which is attached hereto as Exhibit 4.1 and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including, without limitation, statements relating to the Company’s expectations regarding the completion of the Registered Direct Offering and the use of proceeds therefrom. These forward-looking statements are based upon the Company's current expectations. Actual results could differ materially from these forward-looking statements as a result of certain factors, including, without limitation, risks and uncertainties related to the satisfaction of customary closing conditions related to the Registered Direct Offering and other risks detailed in the Company's filings with the SEC, including the Company's Annual Report on Form 10-K for the year ended September 30, 2025, as updated by the Company’s subsequent filings and in the prospectus supplement relating to the Registered Direct Offering. You are cautioned not to place undue reliance on these forward-looking statements, which speak only as of the date of this report. The Company undertakes no duty to update such information except as required under applicable law.</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32"/>
        </w:trPr>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Form of Warrant Amendment.</w:t>
            </w: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1140" w:type="dxa"/>
            <w:vAlign w:val="bottom"/>
            <w:gridSpan w:val="5"/>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Form of Securities Purchase Agreement between Outlook Therapeutics, Inc. and the Purchaser.</w:t>
            </w:r>
          </w:p>
        </w:tc>
      </w:tr>
      <w:tr>
        <w:trPr>
          <w:trHeight w:val="236"/>
        </w:trPr>
        <w:tc>
          <w:tcPr>
            <w:tcW w:w="420" w:type="dxa"/>
            <w:vAlign w:val="bottom"/>
          </w:tcPr>
          <w:p>
            <w:pPr>
              <w:spacing w:after="0"/>
              <w:rPr>
                <w:sz w:val="20"/>
                <w:szCs w:val="20"/>
                <w:color w:val="auto"/>
              </w:rPr>
            </w:pPr>
          </w:p>
        </w:tc>
        <w:tc>
          <w:tcPr>
            <w:tcW w:w="320" w:type="dxa"/>
            <w:vAlign w:val="bottom"/>
            <w:tcBorders>
              <w:top w:val="single" w:sz="8" w:color="0000EE"/>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20" w:type="dxa"/>
            <w:vAlign w:val="bottom"/>
          </w:tcPr>
          <w:p>
            <w:pPr>
              <w:spacing w:after="0"/>
              <w:rPr>
                <w:sz w:val="20"/>
                <w:szCs w:val="20"/>
                <w:color w:val="auto"/>
              </w:rPr>
            </w:pPr>
          </w:p>
        </w:tc>
      </w:tr>
      <w:tr>
        <w:trPr>
          <w:trHeight w:val="675"/>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Outlook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Lawrence A. Kenyon</w:t>
            </w:r>
          </w:p>
        </w:tc>
      </w:tr>
      <w:tr>
        <w:trPr>
          <w:trHeight w:val="189"/>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Lawrence A. Kenyon</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891"/>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GMS Ventures &amp;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Intertrust Corporate Services(Cayman)Ltd, 190 Elgin Avenue, George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E9, KYI-9007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962 6 582 7999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Amendment to Existing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hereby made to the registered direct offering on or about the date hereof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by Outlook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shares of the Company’s common stock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Capitalized terms used but not otherwise defined herein shall have the set forth in the Existing Warrants (as defined below).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letter confirms that, in consideration for the Holder’s participation in the Offering and purchase of Shares in the Offering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the Company hereby amends, effective as of the closing of the Offering, the Holder’s existing (i) Tranche A warrants to purchase up to 3,458,571 shares of common stock of the Company and Tranche B warrants to purchase up to 3,458,571 shares of common stock of the Company, each issued on January 16, 2025, at an exercise price of $2.26 per share, and (ii) warrants to purchase up to 8,571,428 shares of common stock of the Company, issued on May 27, 2025, at an exercise price of $1.40 per share, in each case between the Company and the Holder named therein ((i) and (ii) collectively,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 by reducing the Exercise Price of the Existing Warrants to $0.5855 per share.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Warrant Amendment is subject to, and shall be effective upon, the consummation of the Offering and the Holder’s satisfaction of the Purchase Commitment. In the event that either (i) the Offering is not consummated or (ii) the Holder does not satisfy the Purchase Commitment, the Warrant Amendment shall be null and void and the provisions of the Existing Warrants in effect prior to the date hereof shall remain in effect.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expressly set forth herein, the terms and provisions of the Existing Warrants shall remain in full force and effect after the execution of this letter and shall not in any way be changed, modified or superseded except by the terms set forth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and after the effectiveness of the Warrant Amendment, the Company agrees to promptly deliver to the Holder, upon request, an amended Existing Warrant that reflects the Warrant Amendment in exchange for the surrender for cancellation of the Holder’s Existing Warrants to be amended as provided herein.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signatories as of the date first indicated above.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OUTLOOK THERAPEUTICS,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GMS Ventures &amp;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 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WARRANT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28 2026, between Outlook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 identified on the signature pages hereto (including its successors and assigns,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the Purchaser, and the Purchaser desires to purchase from the Company, Shares (as defined below)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3.1(mm).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to deliver the Shares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 (or the second (2nd) Trading Day following the date hereof if this Agreement is signed on a day that is not a Trading Day or after 4:00 p.m. (New York City time) and before midnight (New York City time) on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 with offices located at 110 N. Wacker Drive, Suite 4200, Chicago, Illinois 60606-1511.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3.1(mm).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$0.5855, subject to adjustment for reverse and forward stock splits, stock dividends, stock combinations and other similar transactions of the Common Stock that occur after the date of this Agreement and prior to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in writing against the Company, any Subsidiary or any of their respective properties before or by any court, arbitrator, governmental or administrative agency or regulatory authority (federal, state, county, local or foreign).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 including all information, documents and exhibits filed with or incorporated by reference into such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the Purchaser at the Closing.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(File No. 333-278340) filed with the Commission, including the Prospectus and the Prospectus Supplement and all information, documents and exhibits filed with or incorporated by reference into such registration statement, which registers the issuance and sale of the Shares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the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the Purchaser, the aggregate amount to be paid for the Shares purchased hereunder as specified below the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 Amendment Agreement, all exhibits and schedules thereto and hereto and any other documents or agreements executed in connection with the transactions contemplated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28 Liberty Street, 53rd Floor, New York, NY 10005, and any successor transfer agent of the Company.</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the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or the OTCID Basic Market (“</w:t>
      </w:r>
      <w:r>
        <w:rPr>
          <w:rFonts w:ascii="Times New Roman" w:cs="Times New Roman" w:eastAsia="Times New Roman" w:hAnsi="Times New Roman"/>
          <w:sz w:val="18"/>
          <w:szCs w:val="18"/>
          <w:u w:val="single" w:color="auto"/>
          <w:color w:val="auto"/>
        </w:rPr>
        <w:t>OTCID</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Limited Market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the most recent bid price per share of the Common Stock so reported, or (d) in all other cases, the fair market value of a share of Common Stock as determined by an independent appraiser selected in good faith by the Purchaser of a majority in interest of the Shares then outstanding and reasonably acceptable to the Company, the fees and expenses of which shall be paid by the Company.</w:t>
      </w:r>
    </w:p>
    <w:p>
      <w:pPr>
        <w:spacing w:after="0" w:line="19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Amendment Agreement</w:t>
      </w:r>
      <w:r>
        <w:rPr>
          <w:rFonts w:ascii="Times New Roman" w:cs="Times New Roman" w:eastAsia="Times New Roman" w:hAnsi="Times New Roman"/>
          <w:sz w:val="18"/>
          <w:szCs w:val="18"/>
          <w:color w:val="auto"/>
        </w:rPr>
        <w:t>” shall mean that certain Warrant Amendment Agreement, by and between the Company and the Purchaser, dated as of the date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 agrees to purchase, an aggregate of 8,539,709 Shares at a price per Share equal to the Per Share Purchase Price. The Purchaser’s Subscription Amount as set forth on the signature page hereto executed by the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 The Company shall deliver to the Purchaser its Shares, and the Company and the Purchaser shall deliver the other items set forth in Section 2.2 deliverable at the Closing. Upon satisfaction of the covenants and conditions set forth in Sections 2.2 and 2.3, the Closing shall occur at the offices of Company Counsel (including remotely by electronic transmission). Settlement of the Shares shall occur via DVP (i.e., on the Closing Date, the Company shall issue the Shares without restrictive legends, registered in the Purchaser’s name and address and released by the Transfer Agent directly to the account(s) at identified by the Purchaser).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     On or prior to the Closing Date, the Company shall deliver or cause to be delivered to the Purchaser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and the Warrant Amendment Agreement duly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a legal opinion of Company Counsel, addressed to the Purchaser, in form and substance reasonably acceptable to the Purchaser;</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the Company shall have provided the Purchaser with the Company’s wire instructions, on Company letterhead and executed by the Chief Executive Officer or Chief Financial Officer;</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the Purchaser’s Subscription Amount divided by the Per Share Purchase Price, registered in the name of the Purchaser;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(v)     the Prospectus and Prospectus Supplement (which may be delivered in accordance with Rule 172 under the Securities Act).</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On or prior to the Closing Date, the Purchaser shall deliver or cause to be delivered to the Company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this Agreement duly executed by the Purchaser;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     the Purchaser’s Subscription Amount, which shall be made available for DVP settlement with the Company or its designee.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5"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     the accuracy in all material respects (or, to the extent representations or warranties are qualified by materiality or Material Adverse Effect, in all respects) when made and on the Closing Date of the representations and warranties of the Purchaser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the Purchaser required to be performed at or prior to the Closing Date shall have been performed;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delivery by the Purchaser of the items set forth in Section 2.2(b) of this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The obligations of the Purchaser hereunder in connection with the Closing are subject to the following conditions being met:</w:t>
      </w:r>
    </w:p>
    <w:p>
      <w:pPr>
        <w:spacing w:after="0" w:line="225"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the Company required to be performed at or prior to the Closing Date shall have been performed;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delivery by the Company of the items set forth in Section 2.2(a) of this Agreement;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there shall have been no Material Adverse Effect with respect to the Company since the date hereof;</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The Company shall have filed with the Company’s principal Trading Market a Notification Form: Listing of Additional Shares for the listing of the Shares and the principal Trading Market shall have raised no objection to such notice and the transactions (including the Warrant Amendment Agreement) contemplated hereby; and</w:t>
      </w:r>
    </w:p>
    <w:p>
      <w:pPr>
        <w:spacing w:after="0" w:line="176"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(vi)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Shares at the Closing.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the Purchaser: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the market price or trading volume in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423545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4.2 of this Agreement, (ii) the filing with the Commission of the Prospectus Supplement, (iii) the notice and/or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prepared and filed the Registration Statement in conformity with the requirements of the Securities Act, which became effective on April 3, 2024,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as set forth in General Instruction I.B.1 of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563245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is as set forth in the SEC Reports. Except for 24,333,206 shares issued upon the conversion of the Company’s outstanding convertible note,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and the Warrant Amendment,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433705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filed prior to the execution of this Agreement,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and the Warrant Amendment.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 Action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applicable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necessary permits licenses or other approvals required of them under applicable Environmental Laws to conduct their respective businesses; and (iii) are in compliance with all applicable terms and conditions of any such permit, license or approval where in each clause (i), (ii) and (iii), the failure to so comply would be reasonably expected to have, individually or in the aggregate, a Material Adverse Effect.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necessary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or have rights to use, would reasonably be expected to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423545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and immediately after receipt of payment for the Shares, will not be,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Shares and the Purchaser’s ownership of the Shares.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 or its agents or counsel with any information that it believes constitutes or might constitute material, non-public information which is not otherwise disclosed in the Prospectus Supplement.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or (ii) any applicable shareholder approval provisions of any Trading Market on which any of the securities of the Company are listed or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422275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September 30, 2026.</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the Purchaser or any of their respective representatives or agents in connection with the Transaction Documents and the transactions contemplated thereby is merely incidental to the Purchaser’s purchase of the Shares.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 has been asked by the Company to agree, nor has the Purchaser agreed, to desist from purchasing or selling, long and/or short, securities of the Company, or “derivative” securities based on securities issued by the Company or to hold the Shares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to which any the Purchaser is a party, directly or indirectly, presently may have a “short” position in the Common Stock; and (iv) the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 xml:space="preserve">(hh)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reasonably be expected to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w:t>
      </w:r>
    </w:p>
    <w:p>
      <w:pPr>
        <w:spacing w:after="0" w:line="11" w:lineRule="exact"/>
        <w:rPr>
          <w:sz w:val="20"/>
          <w:szCs w:val="20"/>
          <w:color w:val="auto"/>
        </w:rPr>
      </w:pPr>
    </w:p>
    <w:p>
      <w:pPr>
        <w:jc w:val="both"/>
        <w:ind w:left="4" w:hanging="4"/>
        <w:spacing w:after="0" w:line="252" w:lineRule="auto"/>
        <w:tabs>
          <w:tab w:leader="none" w:pos="3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90"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best of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(nn)     </w:t>
      </w: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(oo)     </w:t>
      </w: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in all material respects, with all applicable state, federal and foreign data privacy and security laws and regulations, including, without limitation as and to the extent applicable to the Company and the Subsidiaries,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for compliance with their policies and procedures relating to the Company’s and the Subsidiaries’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notice of its applicable Policies to its customers, employees, third party vendors and representatives as and to the extent required by the Privacy Laws, except as would not have a Material Adverse Effect; and (iv) publicly applicable Policies do not contain any material omissions of the Company’s then-current privacy practices, as and to the extent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To the Company’s knowledge, the execution, delivery and performance of the Transaction Documents will not result in a material breach of any applicable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applicable Privacy Laws; (ii) is currently conducting or paying for, in whole or in part, any investigation, remediation or other corrective action pursuant to any regulatory request or demand pursuant to any applicable Privacy Law; or (iii) is a party to any order, decree, or agreement by or with any court or arbitrator or governmental or regulatory authority that imposed any obligation or liability on the Company or its Subsidiaries under any applicable Privacy Law.</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1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91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The Purchaser is acquiring the Shares as principal for its own account and has no direct or indirect arrangement or understandings with any other persons to distribute or regarding the distribution of such Shares (this representation and warranty not limiting the Purchaser’s right to sell the Shares pursuant to the Registration Statement or otherwise in compliance with applicable federal and state securities laws). The Purchaser is acquiring the Shares hereunder in the ordinary course of its business.</w:t>
      </w:r>
    </w:p>
    <w:p>
      <w:pPr>
        <w:spacing w:after="0" w:line="180" w:lineRule="exact"/>
        <w:rPr>
          <w:sz w:val="20"/>
          <w:szCs w:val="20"/>
          <w:color w:val="auto"/>
        </w:rPr>
      </w:pPr>
    </w:p>
    <w:p>
      <w:pPr>
        <w:jc w:val="both"/>
        <w:ind w:firstLine="91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9" w:lineRule="exact"/>
        <w:rPr>
          <w:sz w:val="20"/>
          <w:szCs w:val="20"/>
          <w:color w:val="auto"/>
        </w:rPr>
      </w:pPr>
    </w:p>
    <w:p>
      <w:pPr>
        <w:jc w:val="both"/>
        <w:ind w:firstLine="918"/>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422275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904"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Furnishing of Information;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Until the earlier of the time that no Purchaser owns Shares, the Company covenants to timely file (or obtain extensions in respect thereof and file within the applicable grace period) all reports required to be filed by the Company after the date hereof pursuant to the Exchange Act.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 that it shall have publicly disclosed all material, non-public information delivered to any of the Purchaser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 or any of its Affiliates on the other hand, shall terminate and be of no further force or effect. The Company understands and confirms that the Purchaser shall be relying on the foregoing covenant in effecting transactions in securities of the Company. The Company and the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without the prior written consent of the Purchaser, except (a) as required by federal securities law in connection with the filing of final Transaction Documents with the Commission and (b) to the extent such disclosure is required by law or Trading Market regulations, in which case the Company shall provide the Purchaser with prior notice of such disclosure permitted under this clause (b) and reasonably cooperate with the Purchaser regarding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Shares under the Transaction Documents or under any other agreement between the Company and the Purchaser.</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4.2, the Company covenants and agrees that neither it, nor any other Person acting on its behalf will provide the Purchaser or its agents or counsel with any information that constitutes, or the Company reasonably believes constitutes, material non-public information, unless prior thereto the Purchaser shall have consented in writing to the receipt of such information and agreed in writing with the Company to keep such information confidential. The Company understands and confirms that the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the Purchaser’s consent, the Company hereby covenants and agrees that the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the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for working capital and general corporate purposes, and shall not use such proceeds: (a) for the satisfaction of any portion of the Company’s debt (other than payment of trade payables in the ordinary course of the Company’s business and consistent with the Company’s past practices), (b) for the redemption of any Common Stock or Common Stock Equivalents, or (c) in violation of FCPA or OFAC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Indemnification of the Purchaser</w:t>
      </w:r>
      <w:r>
        <w:rPr>
          <w:rFonts w:ascii="Times New Roman" w:cs="Times New Roman" w:eastAsia="Times New Roman" w:hAnsi="Times New Roman"/>
          <w:sz w:val="18"/>
          <w:szCs w:val="18"/>
          <w:color w:val="auto"/>
        </w:rPr>
        <w:t>. Subject to the provisions of this Section 4.6,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the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the Purchaser Party, with respect to any of the transactions contemplated by the Transaction Documents (unless such action is solely based upon a material breach of the Purchaser Party’s representations, warranties or covenants under the Transaction Documents or any agreements or understandings the Purchaser Party may have with any such stockholder or any violations by the Purchaser Party of state or federal securities laws or any conduct by the Purchaser Party which is finally judicially determined to constitute fraud, gross negligence or willful misconduct), the Company will indemnify the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the Purchaser Party furnished in writing to the Company by the Purchaser Party expressly for use therein, or (ii) any violation or alleged violation by the Company of the Securities Act, the Exchange Act or any state securities law, or any rule or regulation thereunder in connection therewith. If any action shall be brought against the Purchaser Party in respect of which indemnity may be sought pursuant to this Agreement, the Purchaser Party shall promptly notify the Company in writing, and, the Company shall have the right to assume the defense thereof with counsel of its own choosing reasonably acceptable to the Purchaser Party. The Purchaser Party shall have the right to employ separate counsel in any such action and participate in the defense thereof, but the fees and expenses of such counsel shall be at the expense of the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the Purchaser Party, in which case the Company shall be responsible for the reasonable fees and expenses of no more than one such separate counsel. The Company will not be liable to the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the Purchaser Party’s breach of any of the representations, warranties, covenants or agreements made by the Purchaser Party in this Agreement or in the other Transaction Documents. The indemnification required by this Section 4.6 shall be made by periodic payments of the amount thereof during the course of the investigation or defense, as and when bills are received or are incurred. The indemnity agreements contained herein shall be in addition to any cause of action or similar right of the Purchaser Party against the Company or others and any liabilities the Company may be subject to pursuant to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the Shares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xml:space="preserve">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4.2. The Purchaser covenants that until such time as the transactions contemplated by this Agreement are publicly disclosed by the Company pursuant to the initial press release as described in Section 4.4, the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w:t>
      </w:r>
    </w:p>
    <w:p>
      <w:pPr>
        <w:spacing w:after="0" w:line="4" w:lineRule="exact"/>
        <w:rPr>
          <w:sz w:val="20"/>
          <w:szCs w:val="20"/>
          <w:color w:val="auto"/>
        </w:rPr>
      </w:pPr>
    </w:p>
    <w:p>
      <w:pPr>
        <w:jc w:val="both"/>
        <w:ind w:firstLine="8"/>
        <w:spacing w:after="0" w:line="252" w:lineRule="auto"/>
        <w:tabs>
          <w:tab w:leader="none" w:pos="3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4.4. Notwithstanding the foregoing, in the case of a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covenant set forth above shall only apply with respect to the portion of assets managed by the portfolio manager that made the investment decision to purchase the Shares covered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the Purchaser by written notice to the Company,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 of Shares and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Shares, provided that such transferee agrees in writing to be bound, with respect to the transferred Shares, by the provisions of the Transaction Documents that apply to the “Purchaser.”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4.6 and this Section 5.8.</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4.6,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the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6" w:name="page37"/>
    <w:bookmarkEnd w:id="3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OUTLOOK THERAPEUTICS, INC.</w:t>
            </w:r>
          </w:p>
        </w:tc>
        <w:tc>
          <w:tcPr>
            <w:tcW w:w="54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66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1"/>
        </w:trPr>
        <w:tc>
          <w:tcPr>
            <w:tcW w:w="34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5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5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[PURCHASER SIGNATURE PAGES TO OTLK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both"/>
        <w:ind w:firstLine="8"/>
        <w:spacing w:after="0" w:line="261" w:lineRule="auto"/>
        <w:tabs>
          <w:tab w:leader="none" w:pos="288"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36" w:lineRule="auto"/>
        <w:rPr>
          <w:sz w:val="20"/>
          <w:szCs w:val="20"/>
          <w:color w:val="auto"/>
        </w:rPr>
      </w:pPr>
      <w:r>
        <w:rPr>
          <w:rFonts w:ascii="Times New Roman" w:cs="Times New Roman" w:eastAsia="Times New Roman" w:hAnsi="Times New Roman"/>
          <w:sz w:val="18"/>
          <w:szCs w:val="18"/>
          <w:color w:val="auto"/>
        </w:rPr>
        <w:t>the above-signed, shall be unconditional and all conditions to Closing shall be disregarded, (ii) the Closing shall occur by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 (or the second (2nd) Trading Day following the date hereof if this Agreement is signed on a day that is not a Trading Day or after 4:00 p.m. (New York City time) and before midnight (New York City time) on a Trading Day)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6"/>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2026-05-28T19:00:37Z</dcterms:created>
  <dcterms:modified xsi:type="dcterms:W3CDTF">2026-05-28T19:00:37Z</dcterms:modified>
</cp:coreProperties>
</file>